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F70B36" w:rsidP="00426115">
            <w:pPr>
              <w:jc w:val="center"/>
            </w:pPr>
            <w:r>
              <w:t>12</w:t>
            </w:r>
            <w:r w:rsidR="00426115">
              <w:t>.01.</w:t>
            </w:r>
          </w:p>
          <w:p w:rsidR="00D22EB5" w:rsidRDefault="00F70B36" w:rsidP="00426115">
            <w:pPr>
              <w:jc w:val="center"/>
            </w:pPr>
            <w:r>
              <w:t>26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07596B" w:rsidP="00426115">
            <w:pPr>
              <w:jc w:val="center"/>
            </w:pPr>
            <w:r>
              <w:t>0</w:t>
            </w:r>
            <w:r w:rsidR="00F70B36">
              <w:t>9</w:t>
            </w:r>
            <w:r w:rsidR="00426115">
              <w:t>.02.</w:t>
            </w:r>
          </w:p>
          <w:p w:rsidR="00D22EB5" w:rsidRDefault="00F70B36" w:rsidP="00426115">
            <w:pPr>
              <w:jc w:val="center"/>
            </w:pPr>
            <w:r>
              <w:t>23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07596B" w:rsidP="00426115">
            <w:pPr>
              <w:jc w:val="center"/>
            </w:pPr>
            <w:r>
              <w:t>0</w:t>
            </w:r>
            <w:r w:rsidR="00F70B36">
              <w:t>8</w:t>
            </w:r>
            <w:r w:rsidR="00EC3A8B">
              <w:t>.</w:t>
            </w:r>
            <w:r w:rsidR="00426115">
              <w:t>03.</w:t>
            </w:r>
          </w:p>
          <w:p w:rsidR="00D3215D" w:rsidRDefault="00F70B36" w:rsidP="00426115">
            <w:pPr>
              <w:jc w:val="center"/>
            </w:pPr>
            <w:r>
              <w:t>22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05</w:t>
            </w:r>
            <w:r w:rsidR="00426115">
              <w:t>.04.</w:t>
            </w:r>
          </w:p>
          <w:p w:rsidR="00D3215D" w:rsidRDefault="0007596B" w:rsidP="00426115">
            <w:pPr>
              <w:jc w:val="center"/>
            </w:pPr>
            <w:r>
              <w:t>1</w:t>
            </w:r>
            <w:r w:rsidR="00F70B36">
              <w:t>9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03</w:t>
            </w:r>
            <w:r w:rsidR="00426115">
              <w:t>.05.</w:t>
            </w:r>
          </w:p>
          <w:p w:rsidR="00D3215D" w:rsidRDefault="00F70B36" w:rsidP="00EC3A8B">
            <w:pPr>
              <w:jc w:val="center"/>
            </w:pPr>
            <w:r>
              <w:t>17</w:t>
            </w:r>
            <w:r w:rsidR="00042BBA">
              <w:t>.05</w:t>
            </w:r>
            <w:r w:rsidR="00426115">
              <w:t>.</w:t>
            </w:r>
            <w:r>
              <w:t xml:space="preserve"> 31.05.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14</w:t>
            </w:r>
            <w:r w:rsidR="00426115">
              <w:t>.06.</w:t>
            </w:r>
          </w:p>
          <w:p w:rsidR="00D3215D" w:rsidRDefault="00F70B36" w:rsidP="00426115">
            <w:pPr>
              <w:jc w:val="center"/>
            </w:pPr>
            <w:r>
              <w:t>28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12</w:t>
            </w:r>
            <w:r w:rsidR="00426115">
              <w:t>.07.</w:t>
            </w:r>
          </w:p>
          <w:p w:rsidR="00D3215D" w:rsidRDefault="00F70B36" w:rsidP="00426115">
            <w:pPr>
              <w:jc w:val="center"/>
            </w:pPr>
            <w:r>
              <w:t>26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09</w:t>
            </w:r>
            <w:r w:rsidR="00426115">
              <w:t>.08.</w:t>
            </w:r>
          </w:p>
          <w:p w:rsidR="00D3215D" w:rsidRDefault="00F70B36" w:rsidP="00426115">
            <w:pPr>
              <w:jc w:val="center"/>
            </w:pPr>
            <w:r>
              <w:t>23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06</w:t>
            </w:r>
            <w:r w:rsidR="00426115">
              <w:t>.09.</w:t>
            </w:r>
          </w:p>
          <w:p w:rsidR="00D3215D" w:rsidRDefault="00F70B36" w:rsidP="00426115">
            <w:pPr>
              <w:jc w:val="center"/>
            </w:pPr>
            <w:r>
              <w:t>20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04</w:t>
            </w:r>
            <w:r w:rsidR="00426115">
              <w:t>.10.</w:t>
            </w:r>
          </w:p>
          <w:p w:rsidR="00D3215D" w:rsidRDefault="00F70B36" w:rsidP="001D5252">
            <w:pPr>
              <w:jc w:val="center"/>
            </w:pPr>
            <w:r>
              <w:t>18</w:t>
            </w:r>
            <w:r w:rsidR="00426115">
              <w:t>.10.</w:t>
            </w:r>
          </w:p>
        </w:tc>
        <w:tc>
          <w:tcPr>
            <w:tcW w:w="1094" w:type="dxa"/>
            <w:vAlign w:val="center"/>
          </w:tcPr>
          <w:p w:rsidR="001D5252" w:rsidRDefault="00F70B36" w:rsidP="00426115">
            <w:pPr>
              <w:jc w:val="center"/>
            </w:pPr>
            <w:r>
              <w:t>15</w:t>
            </w:r>
            <w:r w:rsidR="001D5252">
              <w:t>.11.</w:t>
            </w:r>
          </w:p>
          <w:p w:rsidR="00D3215D" w:rsidRDefault="00F70B36" w:rsidP="0007596B">
            <w:pPr>
              <w:jc w:val="center"/>
            </w:pPr>
            <w:r>
              <w:t>29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13</w:t>
            </w:r>
            <w:r w:rsidR="00426115">
              <w:t>.12.</w:t>
            </w:r>
          </w:p>
          <w:p w:rsidR="00D3215D" w:rsidRDefault="00F70B36" w:rsidP="00426115">
            <w:pPr>
              <w:jc w:val="center"/>
            </w:pPr>
            <w:r>
              <w:t>27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33109B" w:rsidRDefault="0033109B" w:rsidP="0033109B">
            <w:pPr>
              <w:jc w:val="center"/>
            </w:pPr>
            <w:r>
              <w:t>08.01.</w:t>
            </w:r>
          </w:p>
          <w:p w:rsidR="009D6A7C" w:rsidRDefault="0033109B" w:rsidP="0033109B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05.02.</w:t>
            </w:r>
          </w:p>
          <w:p w:rsidR="009D6A7C" w:rsidRDefault="0033109B" w:rsidP="0033109B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04.03.</w:t>
            </w:r>
          </w:p>
          <w:p w:rsidR="009D6A7C" w:rsidRDefault="0033109B" w:rsidP="0033109B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02.04.</w:t>
            </w:r>
          </w:p>
          <w:p w:rsidR="009D6A7C" w:rsidRDefault="0033109B" w:rsidP="0033109B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13.05.</w:t>
            </w:r>
          </w:p>
          <w:p w:rsidR="006D06EF" w:rsidRDefault="0033109B" w:rsidP="0033109B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33109B" w:rsidRDefault="006D06EF" w:rsidP="0033109B">
            <w:r>
              <w:t xml:space="preserve">   </w:t>
            </w:r>
            <w:r w:rsidR="0033109B">
              <w:t>10.06.</w:t>
            </w:r>
          </w:p>
          <w:p w:rsidR="009D6A7C" w:rsidRDefault="0033109B" w:rsidP="0033109B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08.07.</w:t>
            </w:r>
          </w:p>
          <w:p w:rsidR="009D6A7C" w:rsidRDefault="0033109B" w:rsidP="0033109B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06.08.</w:t>
            </w:r>
          </w:p>
          <w:p w:rsidR="009D6A7C" w:rsidRDefault="0033109B" w:rsidP="0033109B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02.09.</w:t>
            </w:r>
          </w:p>
          <w:p w:rsidR="009D6A7C" w:rsidRDefault="0033109B" w:rsidP="0033109B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14.10.</w:t>
            </w:r>
          </w:p>
          <w:p w:rsidR="005C648B" w:rsidRDefault="0033109B" w:rsidP="0033109B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33109B" w:rsidRDefault="005C648B" w:rsidP="0033109B">
            <w:r>
              <w:t xml:space="preserve">   </w:t>
            </w:r>
            <w:r w:rsidR="0033109B">
              <w:t>11.11.</w:t>
            </w:r>
          </w:p>
          <w:p w:rsidR="009D6A7C" w:rsidRDefault="0033109B" w:rsidP="0033109B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33109B" w:rsidRDefault="0033109B" w:rsidP="0033109B">
            <w:pPr>
              <w:jc w:val="center"/>
            </w:pPr>
            <w:r>
              <w:t>09.12.</w:t>
            </w:r>
          </w:p>
          <w:p w:rsidR="009D6A7C" w:rsidRDefault="0033109B" w:rsidP="0033109B">
            <w:pPr>
              <w:jc w:val="center"/>
            </w:pPr>
            <w:r>
              <w:t>23.12.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F70B36" w:rsidP="001D5252">
            <w:pPr>
              <w:jc w:val="center"/>
            </w:pPr>
            <w:r>
              <w:t>05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70B36" w:rsidP="007E723D">
            <w:pPr>
              <w:jc w:val="center"/>
            </w:pPr>
            <w:r>
              <w:t>02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F70B36" w:rsidP="007E723D">
            <w:pPr>
              <w:jc w:val="center"/>
            </w:pPr>
            <w:r>
              <w:t>01</w:t>
            </w:r>
            <w:r w:rsidR="00D3215D">
              <w:t>.03</w:t>
            </w:r>
            <w:r w:rsidR="00D3215D" w:rsidRPr="00D3215D">
              <w:t>.</w:t>
            </w:r>
          </w:p>
          <w:p w:rsidR="001D5252" w:rsidRDefault="00F70B36" w:rsidP="007E723D">
            <w:pPr>
              <w:jc w:val="center"/>
            </w:pPr>
            <w:r>
              <w:t>29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E24DD0" w:rsidP="007E723D">
            <w:pPr>
              <w:jc w:val="center"/>
            </w:pPr>
            <w:r>
              <w:t>26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D91177">
              <w:t>4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21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07596B" w:rsidP="007E723D">
            <w:pPr>
              <w:jc w:val="center"/>
            </w:pPr>
            <w:r>
              <w:t>1</w:t>
            </w:r>
            <w:r w:rsidR="00D91177">
              <w:t>9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16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13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11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07596B" w:rsidP="0007596B">
            <w:pPr>
              <w:jc w:val="center"/>
            </w:pPr>
            <w:r>
              <w:t>0</w:t>
            </w:r>
            <w:r w:rsidR="00D91177">
              <w:t>8</w:t>
            </w:r>
            <w:r>
              <w:t>.</w:t>
            </w:r>
            <w:r w:rsidR="00D3215D">
              <w:t>11.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06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782364" w:rsidP="007E723D">
            <w:pPr>
              <w:jc w:val="center"/>
            </w:pPr>
            <w:r>
              <w:t>19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16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15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12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10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07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782364" w:rsidP="00C4768A">
            <w:pPr>
              <w:jc w:val="center"/>
            </w:pPr>
            <w:r>
              <w:t>05</w:t>
            </w:r>
            <w:r w:rsidR="00C4768A">
              <w:t>.07.</w:t>
            </w:r>
          </w:p>
        </w:tc>
        <w:tc>
          <w:tcPr>
            <w:tcW w:w="1094" w:type="dxa"/>
            <w:vAlign w:val="center"/>
          </w:tcPr>
          <w:p w:rsidR="009D6A7C" w:rsidRDefault="00782364" w:rsidP="00581566">
            <w:pPr>
              <w:jc w:val="center"/>
            </w:pPr>
            <w:r>
              <w:t>02</w:t>
            </w:r>
            <w:r w:rsidR="00C25FDA">
              <w:t>.08.</w:t>
            </w:r>
            <w:r>
              <w:t xml:space="preserve"> 30.08.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782364">
              <w:t>7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782364">
              <w:t>5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22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20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19.01.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16.02.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15.03.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12.04.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10.05.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07.06.</w:t>
            </w:r>
          </w:p>
        </w:tc>
        <w:tc>
          <w:tcPr>
            <w:tcW w:w="1094" w:type="dxa"/>
            <w:vAlign w:val="center"/>
          </w:tcPr>
          <w:p w:rsidR="009D6A7C" w:rsidRDefault="00782364" w:rsidP="00951EAD">
            <w:pPr>
              <w:jc w:val="center"/>
            </w:pPr>
            <w:r w:rsidRPr="00782364">
              <w:t>05.07.</w:t>
            </w:r>
          </w:p>
        </w:tc>
        <w:tc>
          <w:tcPr>
            <w:tcW w:w="1094" w:type="dxa"/>
            <w:vAlign w:val="center"/>
          </w:tcPr>
          <w:p w:rsidR="009D6A7C" w:rsidRDefault="00782364" w:rsidP="00C4768A">
            <w:pPr>
              <w:jc w:val="center"/>
            </w:pPr>
            <w:r w:rsidRPr="00782364">
              <w:t>02.08. 30.08.</w:t>
            </w:r>
          </w:p>
        </w:tc>
        <w:tc>
          <w:tcPr>
            <w:tcW w:w="1094" w:type="dxa"/>
            <w:vAlign w:val="center"/>
          </w:tcPr>
          <w:p w:rsidR="009D6A7C" w:rsidRDefault="00782364" w:rsidP="00581566">
            <w:pPr>
              <w:jc w:val="center"/>
            </w:pPr>
            <w:r w:rsidRPr="00782364">
              <w:t>27.09.</w:t>
            </w:r>
          </w:p>
        </w:tc>
        <w:tc>
          <w:tcPr>
            <w:tcW w:w="1094" w:type="dxa"/>
            <w:vAlign w:val="center"/>
          </w:tcPr>
          <w:p w:rsidR="009D6A7C" w:rsidRDefault="00782364" w:rsidP="00951EAD">
            <w:pPr>
              <w:jc w:val="center"/>
            </w:pPr>
            <w:r w:rsidRPr="00782364">
              <w:t>25.10.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22.11.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20.12.</w:t>
            </w:r>
          </w:p>
        </w:tc>
      </w:tr>
      <w:tr w:rsidR="009D6A7C" w:rsidTr="004A35D2">
        <w:trPr>
          <w:trHeight w:val="557"/>
        </w:trPr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DA4C92" w:rsidP="004A35D2">
            <w:pPr>
              <w:jc w:val="center"/>
            </w:pPr>
            <w:r>
              <w:t>23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DA4C92">
              <w:t>7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DA4C92" w:rsidP="007E723D">
            <w:pPr>
              <w:jc w:val="center"/>
            </w:pPr>
            <w:r>
              <w:t>23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DA4C92" w:rsidP="007E723D">
            <w:pPr>
              <w:jc w:val="center"/>
            </w:pPr>
            <w:r>
              <w:t>29.11.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4A35D2">
        <w:trPr>
          <w:trHeight w:val="551"/>
        </w:trPr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4A35D2" w:rsidP="004A35D2">
            <w:r>
              <w:t xml:space="preserve">   </w:t>
            </w:r>
            <w:r w:rsidR="00DA4C92">
              <w:t>23</w:t>
            </w:r>
            <w:r w:rsidR="009F2976" w:rsidRP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DA4C92" w:rsidP="007E723D">
            <w:pPr>
              <w:jc w:val="center"/>
            </w:pPr>
            <w:r>
              <w:t>17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DA4C92" w:rsidP="007E723D">
            <w:pPr>
              <w:jc w:val="center"/>
            </w:pPr>
            <w:r>
              <w:t>23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DA4C92" w:rsidP="007E723D">
            <w:pPr>
              <w:jc w:val="center"/>
            </w:pPr>
            <w:r>
              <w:t>29.11.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E764C1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F70B36" w:rsidRDefault="00F70B36" w:rsidP="00F70B36">
            <w:pPr>
              <w:jc w:val="center"/>
            </w:pPr>
            <w:r>
              <w:t>12.01.</w:t>
            </w:r>
          </w:p>
          <w:p w:rsidR="009D6A7C" w:rsidRDefault="00F70B36" w:rsidP="00F70B36">
            <w:pPr>
              <w:jc w:val="center"/>
            </w:pPr>
            <w:r>
              <w:t>26.01.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09.02.</w:t>
            </w:r>
          </w:p>
          <w:p w:rsidR="009D6A7C" w:rsidRDefault="00F70B36" w:rsidP="00F70B36">
            <w:pPr>
              <w:jc w:val="center"/>
            </w:pPr>
            <w:r>
              <w:t>23.02.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08.03.</w:t>
            </w:r>
          </w:p>
          <w:p w:rsidR="009D6A7C" w:rsidRDefault="00F70B36" w:rsidP="00F70B36">
            <w:pPr>
              <w:jc w:val="center"/>
            </w:pPr>
            <w:r>
              <w:t>22.03.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05.04.</w:t>
            </w:r>
          </w:p>
          <w:p w:rsidR="009D6A7C" w:rsidRDefault="00F70B36" w:rsidP="00F70B36">
            <w:pPr>
              <w:jc w:val="center"/>
            </w:pPr>
            <w:r>
              <w:t>19.04.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03.05.</w:t>
            </w:r>
          </w:p>
          <w:p w:rsidR="009D6A7C" w:rsidRDefault="00F70B36" w:rsidP="00F70B36">
            <w:pPr>
              <w:jc w:val="center"/>
            </w:pPr>
            <w:r>
              <w:t>17.05. 31.05.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14.06.</w:t>
            </w:r>
          </w:p>
          <w:p w:rsidR="009D6A7C" w:rsidRDefault="00F70B36" w:rsidP="00F70B36">
            <w:pPr>
              <w:jc w:val="center"/>
            </w:pPr>
            <w:r>
              <w:t>28.06.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12.07.</w:t>
            </w:r>
          </w:p>
          <w:p w:rsidR="009D6A7C" w:rsidRDefault="00F70B36" w:rsidP="00F70B36">
            <w:pPr>
              <w:jc w:val="center"/>
            </w:pPr>
            <w:r>
              <w:t>26.07.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09.08.</w:t>
            </w:r>
          </w:p>
          <w:p w:rsidR="009D6A7C" w:rsidRDefault="00F70B36" w:rsidP="00F70B36">
            <w:pPr>
              <w:jc w:val="center"/>
            </w:pPr>
            <w:r>
              <w:t>23.08.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06.09.</w:t>
            </w:r>
          </w:p>
          <w:p w:rsidR="009D6A7C" w:rsidRDefault="00F70B36" w:rsidP="00F70B36">
            <w:pPr>
              <w:jc w:val="center"/>
            </w:pPr>
            <w:r>
              <w:t>20.09.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04.10.</w:t>
            </w:r>
          </w:p>
          <w:p w:rsidR="009D6A7C" w:rsidRDefault="00F70B36" w:rsidP="00F70B36">
            <w:pPr>
              <w:jc w:val="center"/>
            </w:pPr>
            <w:r>
              <w:t>18.10.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15.11.</w:t>
            </w:r>
          </w:p>
          <w:p w:rsidR="009D6A7C" w:rsidRDefault="00F70B36" w:rsidP="00F70B36">
            <w:pPr>
              <w:jc w:val="center"/>
            </w:pPr>
            <w:r>
              <w:t>29.11.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13.12.</w:t>
            </w:r>
          </w:p>
          <w:p w:rsidR="009D6A7C" w:rsidRDefault="00F70B36" w:rsidP="00F70B36">
            <w:pPr>
              <w:jc w:val="center"/>
            </w:pPr>
            <w:r>
              <w:t>27.12.</w:t>
            </w:r>
          </w:p>
        </w:tc>
      </w:tr>
    </w:tbl>
    <w:p w:rsidR="003D0F57" w:rsidRPr="00E23C12" w:rsidRDefault="00F70B36" w:rsidP="00E23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BA2AD7">
        <w:rPr>
          <w:b/>
          <w:sz w:val="24"/>
          <w:szCs w:val="24"/>
        </w:rPr>
        <w:t xml:space="preserve"> – naselje </w:t>
      </w:r>
      <w:proofErr w:type="spellStart"/>
      <w:r w:rsidR="00BA2AD7">
        <w:rPr>
          <w:b/>
          <w:sz w:val="24"/>
          <w:szCs w:val="24"/>
        </w:rPr>
        <w:t>Hrastovsko</w:t>
      </w:r>
      <w:proofErr w:type="spellEnd"/>
    </w:p>
    <w:p w:rsidR="00E23C12" w:rsidRDefault="00E23C12" w:rsidP="00E23C12">
      <w:pPr>
        <w:jc w:val="center"/>
        <w:rPr>
          <w:b/>
        </w:rPr>
      </w:pPr>
    </w:p>
    <w:p w:rsidR="009F2976" w:rsidRPr="00E23C12" w:rsidRDefault="00E23C12" w:rsidP="00E23C12">
      <w:pPr>
        <w:jc w:val="center"/>
        <w:rPr>
          <w:b/>
        </w:rPr>
      </w:pPr>
      <w:r w:rsidRPr="00E23C12">
        <w:rPr>
          <w:b/>
        </w:rPr>
        <w:t xml:space="preserve">RASPORED RADA </w:t>
      </w:r>
      <w:r>
        <w:rPr>
          <w:b/>
        </w:rPr>
        <w:t xml:space="preserve">RECIKLAŽNOG I </w:t>
      </w:r>
      <w:r w:rsidRPr="00E23C12">
        <w:rPr>
          <w:b/>
        </w:rPr>
        <w:t>MOBIL</w:t>
      </w:r>
      <w:r w:rsidR="00492DDA">
        <w:rPr>
          <w:b/>
        </w:rPr>
        <w:t>NOG RECIKLAŽNOG DVORIŠTA ZA 2024</w:t>
      </w:r>
      <w:r w:rsidRPr="00E23C12"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397C8F" w:rsidTr="001E2825">
        <w:tc>
          <w:tcPr>
            <w:tcW w:w="14220" w:type="dxa"/>
            <w:shd w:val="clear" w:color="auto" w:fill="D9D9D9" w:themeFill="background1" w:themeFillShade="D9"/>
            <w:hideMark/>
          </w:tcPr>
          <w:p w:rsidR="00397C8F" w:rsidRDefault="00397C8F" w:rsidP="001E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397C8F" w:rsidRDefault="00397C8F" w:rsidP="001E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397C8F" w:rsidTr="001E2825">
        <w:tc>
          <w:tcPr>
            <w:tcW w:w="14220" w:type="dxa"/>
            <w:hideMark/>
          </w:tcPr>
          <w:p w:rsidR="00397C8F" w:rsidRDefault="00397C8F" w:rsidP="001E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HRASTOVSKO, </w:t>
            </w:r>
            <w:r>
              <w:t xml:space="preserve"> </w:t>
            </w:r>
            <w:r>
              <w:rPr>
                <w:sz w:val="20"/>
                <w:szCs w:val="20"/>
              </w:rPr>
              <w:t>kod društvenog doma</w:t>
            </w:r>
          </w:p>
          <w:p w:rsidR="00397C8F" w:rsidRDefault="00397C8F" w:rsidP="001E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14:00 – 15:00 sati                                                                                                                                                                     </w:t>
            </w:r>
            <w:r w:rsidR="008E7256">
              <w:rPr>
                <w:sz w:val="20"/>
                <w:szCs w:val="20"/>
              </w:rPr>
              <w:t>24.01</w:t>
            </w:r>
            <w:r w:rsidR="002F00C3" w:rsidRPr="002F00C3">
              <w:rPr>
                <w:sz w:val="20"/>
                <w:szCs w:val="20"/>
              </w:rPr>
              <w:t>., 17.04., 17.07., 16.10.</w:t>
            </w:r>
          </w:p>
        </w:tc>
      </w:tr>
    </w:tbl>
    <w:p w:rsidR="009F2976" w:rsidRDefault="009F2976"/>
    <w:p w:rsidR="009F2976" w:rsidRDefault="009F2976"/>
    <w:p w:rsidR="00BA2AD7" w:rsidRDefault="00BA2AD7"/>
    <w:p w:rsidR="00BA2AD7" w:rsidRDefault="00BA2AD7"/>
    <w:p w:rsidR="00BA2AD7" w:rsidRDefault="00BA2AD7">
      <w:pPr>
        <w:sectPr w:rsidR="00BA2AD7" w:rsidSect="00E23C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A2AD7" w:rsidRDefault="00BA2AD7">
      <w:r w:rsidRPr="00BA2AD7"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 wp14:anchorId="3950EDBC" wp14:editId="70BD1B16">
            <wp:simplePos x="0" y="0"/>
            <wp:positionH relativeFrom="margin">
              <wp:posOffset>2067608</wp:posOffset>
            </wp:positionH>
            <wp:positionV relativeFrom="paragraph">
              <wp:posOffset>-86995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A2AD7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B39AB41" wp14:editId="0E6B8C0C">
            <wp:simplePos x="0" y="0"/>
            <wp:positionH relativeFrom="rightMargin">
              <wp:posOffset>-762635</wp:posOffset>
            </wp:positionH>
            <wp:positionV relativeFrom="margin">
              <wp:posOffset>-160020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A2AD7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9D2AB05" wp14:editId="01F7D1D6">
            <wp:simplePos x="0" y="0"/>
            <wp:positionH relativeFrom="margin">
              <wp:posOffset>5817870</wp:posOffset>
            </wp:positionH>
            <wp:positionV relativeFrom="margin">
              <wp:posOffset>304165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2AD7" w:rsidRPr="008436A7" w:rsidRDefault="00BA2AD7" w:rsidP="00BA2AD7"/>
    <w:p w:rsidR="00BA2AD7" w:rsidRDefault="00BA2AD7" w:rsidP="00BA2AD7">
      <w:r w:rsidRPr="008436A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46074" wp14:editId="03252700">
                <wp:simplePos x="0" y="0"/>
                <wp:positionH relativeFrom="margin">
                  <wp:posOffset>1059180</wp:posOffset>
                </wp:positionH>
                <wp:positionV relativeFrom="paragraph">
                  <wp:posOffset>73660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A2AD7" w:rsidRDefault="00BA2AD7" w:rsidP="00BA2AD7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BA2AD7" w:rsidRDefault="00BA2AD7" w:rsidP="00BA2AD7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BA2AD7" w:rsidRDefault="00BA2AD7" w:rsidP="00BA2AD7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BA2AD7" w:rsidRDefault="00BA2AD7" w:rsidP="00BA2AD7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3.4pt;margin-top:5.8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LapHRbdAAAACQEAAA8AAAAAAAAAAAAAAAAAOgQAAGRycy9kb3ducmV2LnhtbFBLBQYA&#10;AAAABAAEAPMAAABEBQAAAAA=&#10;" stroked="f">
                <v:textbox>
                  <w:txbxContent>
                    <w:p w:rsidR="00BA2AD7" w:rsidRDefault="00BA2AD7" w:rsidP="00BA2AD7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BA2AD7" w:rsidRDefault="00BA2AD7" w:rsidP="00BA2AD7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BA2AD7" w:rsidRDefault="00BA2AD7" w:rsidP="00BA2AD7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BA2AD7" w:rsidRDefault="00BA2AD7" w:rsidP="00BA2AD7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AD7" w:rsidRDefault="00BA2AD7" w:rsidP="00BA2AD7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BA2AD7" w:rsidRPr="00F136A2" w:rsidRDefault="00BA2AD7" w:rsidP="00BA2AD7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BA2AD7" w:rsidRDefault="00BA2AD7" w:rsidP="00BA2AD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BA2AD7" w:rsidRPr="00F136A2" w:rsidRDefault="00BA2AD7" w:rsidP="00BA2AD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BA2AD7" w:rsidRPr="00F136A2" w:rsidRDefault="00BA2AD7" w:rsidP="00BA2AD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BA2AD7" w:rsidRPr="00F136A2" w:rsidRDefault="00BA2AD7" w:rsidP="00BA2AD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BA2AD7" w:rsidRPr="00F136A2" w:rsidRDefault="00BA2AD7" w:rsidP="00BA2AD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BA2AD7" w:rsidRPr="00F136A2" w:rsidRDefault="00BA2AD7" w:rsidP="00BA2AD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BA2AD7" w:rsidRPr="00F136A2" w:rsidRDefault="00BA2AD7" w:rsidP="00BA2AD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BA2AD7" w:rsidRPr="00F136A2" w:rsidRDefault="00BA2AD7" w:rsidP="00BA2AD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BA2AD7" w:rsidRPr="00F136A2" w:rsidRDefault="00BA2AD7" w:rsidP="00BA2AD7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BA2AD7" w:rsidRPr="00F136A2" w:rsidRDefault="00BA2AD7" w:rsidP="00BA2AD7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A2AD7" w:rsidRDefault="00BA2AD7" w:rsidP="00BA2AD7">
      <w:pPr>
        <w:ind w:firstLine="708"/>
      </w:pPr>
    </w:p>
    <w:p w:rsidR="00BA2AD7" w:rsidRDefault="00BA2AD7" w:rsidP="00BA2AD7"/>
    <w:p w:rsidR="00BA2AD7" w:rsidRDefault="00BA2AD7" w:rsidP="00BA2AD7">
      <w:pPr>
        <w:ind w:firstLine="708"/>
      </w:pPr>
    </w:p>
    <w:p w:rsidR="00BA2AD7" w:rsidRPr="00BA2AD7" w:rsidRDefault="00786F9E" w:rsidP="00BA2AD7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C2705" wp14:editId="27D1D7B0">
                <wp:simplePos x="0" y="0"/>
                <wp:positionH relativeFrom="page">
                  <wp:posOffset>396671</wp:posOffset>
                </wp:positionH>
                <wp:positionV relativeFrom="paragraph">
                  <wp:posOffset>48895</wp:posOffset>
                </wp:positionV>
                <wp:extent cx="6694098" cy="487045"/>
                <wp:effectExtent l="0" t="0" r="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A2AD7" w:rsidRDefault="00BA2AD7" w:rsidP="00786F9E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BA2AD7" w:rsidRDefault="00BA2AD7" w:rsidP="00786F9E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786F9E" w:rsidRPr="00786F9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="00786F9E" w:rsidRPr="00786F9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  <w:r w:rsidR="00786F9E" w:rsidRPr="00786F9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A2AD7" w:rsidRDefault="00BA2AD7" w:rsidP="00786F9E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BA2AD7" w:rsidRDefault="00BA2AD7" w:rsidP="00786F9E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BA2AD7" w:rsidRDefault="00BA2AD7" w:rsidP="00786F9E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BA2AD7" w:rsidRDefault="00BA2AD7" w:rsidP="00786F9E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25pt;margin-top:3.85pt;width:527.1pt;height:38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" stroked="f">
                <v:textbox>
                  <w:txbxContent>
                    <w:p w:rsidR="00BA2AD7" w:rsidRDefault="00BA2AD7" w:rsidP="00786F9E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>I</w:t>
                      </w:r>
                    </w:p>
                    <w:p w:rsidR="00BA2AD7" w:rsidRDefault="00BA2AD7" w:rsidP="00786F9E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786F9E" w:rsidRPr="00786F9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="00786F9E" w:rsidRPr="00786F9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  <w:r w:rsidR="00786F9E" w:rsidRPr="00786F9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:rsidR="00BA2AD7" w:rsidRDefault="00BA2AD7" w:rsidP="00786F9E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BA2AD7" w:rsidRDefault="00BA2AD7" w:rsidP="00786F9E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BA2AD7" w:rsidRDefault="00BA2AD7" w:rsidP="00786F9E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bookmarkEnd w:id="1"/>
                    <w:p w:rsidR="00BA2AD7" w:rsidRDefault="00BA2AD7" w:rsidP="00786F9E">
                      <w:pPr>
                        <w:pStyle w:val="Bezproreda"/>
                        <w:spacing w:line="36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A2AD7" w:rsidRPr="00BA2AD7" w:rsidSect="00BA2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7596B"/>
    <w:rsid w:val="00082173"/>
    <w:rsid w:val="00166224"/>
    <w:rsid w:val="00190439"/>
    <w:rsid w:val="00192A8C"/>
    <w:rsid w:val="001D5252"/>
    <w:rsid w:val="002150F8"/>
    <w:rsid w:val="002A16F1"/>
    <w:rsid w:val="002E52C9"/>
    <w:rsid w:val="002F00C3"/>
    <w:rsid w:val="0033109B"/>
    <w:rsid w:val="00397C8F"/>
    <w:rsid w:val="003D0F57"/>
    <w:rsid w:val="00405424"/>
    <w:rsid w:val="00426115"/>
    <w:rsid w:val="00492DDA"/>
    <w:rsid w:val="004A35D2"/>
    <w:rsid w:val="00581566"/>
    <w:rsid w:val="005C648B"/>
    <w:rsid w:val="00600542"/>
    <w:rsid w:val="006D06EF"/>
    <w:rsid w:val="007815FC"/>
    <w:rsid w:val="00782364"/>
    <w:rsid w:val="00786F9E"/>
    <w:rsid w:val="00794AA7"/>
    <w:rsid w:val="007E723D"/>
    <w:rsid w:val="00881120"/>
    <w:rsid w:val="0089452C"/>
    <w:rsid w:val="008E7256"/>
    <w:rsid w:val="00951EAD"/>
    <w:rsid w:val="009D6A7C"/>
    <w:rsid w:val="009F2976"/>
    <w:rsid w:val="00A44805"/>
    <w:rsid w:val="00AC046A"/>
    <w:rsid w:val="00BA2AD7"/>
    <w:rsid w:val="00C25FDA"/>
    <w:rsid w:val="00C4768A"/>
    <w:rsid w:val="00C504D8"/>
    <w:rsid w:val="00C73D8B"/>
    <w:rsid w:val="00D22EB5"/>
    <w:rsid w:val="00D24A2B"/>
    <w:rsid w:val="00D3215D"/>
    <w:rsid w:val="00D91177"/>
    <w:rsid w:val="00DA4C92"/>
    <w:rsid w:val="00DB2C82"/>
    <w:rsid w:val="00E23C12"/>
    <w:rsid w:val="00E24DD0"/>
    <w:rsid w:val="00E764C1"/>
    <w:rsid w:val="00EC3A8B"/>
    <w:rsid w:val="00EF0C92"/>
    <w:rsid w:val="00F70B36"/>
    <w:rsid w:val="00F81EF9"/>
    <w:rsid w:val="00FB3852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BA2A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BA2A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12</cp:revision>
  <cp:lastPrinted>2023-12-06T07:56:00Z</cp:lastPrinted>
  <dcterms:created xsi:type="dcterms:W3CDTF">2023-10-26T08:37:00Z</dcterms:created>
  <dcterms:modified xsi:type="dcterms:W3CDTF">2023-12-20T07:22:00Z</dcterms:modified>
</cp:coreProperties>
</file>